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PROCESSO DISCIPLINAR DISCENTE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/ 20__</w:t>
      </w:r>
    </w:p>
    <w:tbl>
      <w:tblPr>
        <w:tblStyle w:val="Table1"/>
        <w:tblW w:w="10626.999999999998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9"/>
        <w:gridCol w:w="3685"/>
        <w:gridCol w:w="1702"/>
        <w:gridCol w:w="4111"/>
        <w:tblGridChange w:id="0">
          <w:tblGrid>
            <w:gridCol w:w="1129"/>
            <w:gridCol w:w="3685"/>
            <w:gridCol w:w="1702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ind w:right="-56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Relator: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right="-56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-56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 / Cargo: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ind w:right="-56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63500</wp:posOffset>
                </wp:positionV>
                <wp:extent cx="9525" cy="190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9863" y="3775238"/>
                          <a:ext cx="6772275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63500</wp:posOffset>
                </wp:positionV>
                <wp:extent cx="9525" cy="19075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627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1"/>
        <w:gridCol w:w="4536"/>
        <w:gridCol w:w="2410"/>
        <w:tblGridChange w:id="0">
          <w:tblGrid>
            <w:gridCol w:w="3681"/>
            <w:gridCol w:w="4536"/>
            <w:gridCol w:w="2410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Discente(s) envolvido(s):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Turma(s)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(A ser preenchida pelo Relator)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-56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38100</wp:posOffset>
                </wp:positionV>
                <wp:extent cx="9525" cy="190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9863" y="3775238"/>
                          <a:ext cx="6772275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38100</wp:posOffset>
                </wp:positionV>
                <wp:extent cx="9525" cy="190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0627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0"/>
        <w:gridCol w:w="5387"/>
        <w:tblGridChange w:id="0">
          <w:tblGrid>
            <w:gridCol w:w="5240"/>
            <w:gridCol w:w="5387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ocorrência: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 ser preenchida pelo Relator)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da ocorrência: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____/____/20_____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-56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7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94"/>
        <w:gridCol w:w="2657"/>
        <w:gridCol w:w="230"/>
        <w:gridCol w:w="2658"/>
        <w:gridCol w:w="230"/>
        <w:gridCol w:w="2658"/>
        <w:tblGridChange w:id="0">
          <w:tblGrid>
            <w:gridCol w:w="2194"/>
            <w:gridCol w:w="2657"/>
            <w:gridCol w:w="230"/>
            <w:gridCol w:w="2658"/>
            <w:gridCol w:w="230"/>
            <w:gridCol w:w="265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do(s)  discente(s) envolvido(s)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-56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Obs.: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Encaminhar para a secretaria da Diretoria.</w:t>
      </w:r>
    </w:p>
    <w:p w:rsidR="00000000" w:rsidDel="00000000" w:rsidP="00000000" w:rsidRDefault="00000000" w:rsidRPr="00000000" w14:paraId="00000042">
      <w:pPr>
        <w:ind w:left="-56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9525" cy="190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9863" y="3775238"/>
                          <a:ext cx="6772275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9525" cy="19075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10626.999999999998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5998"/>
        <w:gridCol w:w="4209"/>
        <w:tblGridChange w:id="0">
          <w:tblGrid>
            <w:gridCol w:w="420"/>
            <w:gridCol w:w="5998"/>
            <w:gridCol w:w="420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Verificação de reincidências: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 ser preenchida pela Seção de Registro Escolar)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 existem reincidências.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Existem reincidências.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(Anexar cópia do processo anterior)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Visto da Seção de Registro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9525" cy="190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9863" y="3775238"/>
                          <a:ext cx="6772275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9525" cy="19075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10627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5959"/>
        <w:gridCol w:w="4248"/>
        <w:tblGridChange w:id="0">
          <w:tblGrid>
            <w:gridCol w:w="420"/>
            <w:gridCol w:w="5959"/>
            <w:gridCol w:w="424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5) Sanção disciplinar aplicável: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 ser julgado e preenchido pela comissão disciplinar discente)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Advertência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Suspensão das atividades escolares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Visto da Comissão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Desligamento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Obs.: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Este item deverá ser preenchido pela comissão disciplinar discente, de acordo com a análise do relato, e a ficha deverá ser encaminhada à Seção de Registro Escolar e Secretaria da Diretoria para registro e arquivamento.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Comunicar os Alunos e Pais (A ser definido pela comissão disciplinar discente).</w:t>
      </w:r>
    </w:p>
    <w:p w:rsidR="00000000" w:rsidDel="00000000" w:rsidP="00000000" w:rsidRDefault="00000000" w:rsidRPr="00000000" w14:paraId="0000005F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567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27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7"/>
        <w:gridCol w:w="8080"/>
        <w:tblGridChange w:id="0">
          <w:tblGrid>
            <w:gridCol w:w="2547"/>
            <w:gridCol w:w="80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6) Parecer da comissão: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-63499</wp:posOffset>
                      </wp:positionV>
                      <wp:extent cx="9525" cy="1907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59863" y="3775238"/>
                                <a:ext cx="6772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-63499</wp:posOffset>
                      </wp:positionV>
                      <wp:extent cx="9525" cy="19075"/>
                      <wp:effectExtent b="0" l="0" r="0" t="0"/>
                      <wp:wrapNone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ind w:left="-567" w:firstLine="0"/>
        <w:rPr/>
        <w:sectPr>
          <w:headerReference r:id="rId12" w:type="default"/>
          <w:pgSz w:h="16838" w:w="11906" w:orient="portrait"/>
          <w:pgMar w:bottom="1418" w:top="1418" w:left="1134" w:right="1134" w:header="709" w:footer="709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38100</wp:posOffset>
                </wp:positionV>
                <wp:extent cx="9525" cy="190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9863" y="3775238"/>
                          <a:ext cx="6772275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38100</wp:posOffset>
                </wp:positionV>
                <wp:extent cx="9525" cy="19075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ind w:left="-567" w:firstLine="0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Capítulo I - Do Corpo direitos e Deveres</w:t>
      </w:r>
    </w:p>
    <w:p w:rsidR="00000000" w:rsidDel="00000000" w:rsidP="00000000" w:rsidRDefault="00000000" w:rsidRPr="00000000" w14:paraId="00000075">
      <w:pPr>
        <w:ind w:left="-567" w:firstLine="0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Art.1º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O corpo do CEFET/MG é constituído de alunos regularmente matriculados nos cursos oferecidos pelo CEFET/MG, conforme seu Regimento Geral.</w:t>
      </w:r>
    </w:p>
    <w:p w:rsidR="00000000" w:rsidDel="00000000" w:rsidP="00000000" w:rsidRDefault="00000000" w:rsidRPr="00000000" w14:paraId="00000077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Art.2º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São direitos dos alunos:</w:t>
      </w:r>
    </w:p>
    <w:p w:rsidR="00000000" w:rsidDel="00000000" w:rsidP="00000000" w:rsidRDefault="00000000" w:rsidRPr="00000000" w14:paraId="00000079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rematrícula</w:t>
      </w:r>
    </w:p>
    <w:p w:rsidR="00000000" w:rsidDel="00000000" w:rsidP="00000000" w:rsidRDefault="00000000" w:rsidRPr="00000000" w14:paraId="0000007A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promoção para o período seguinte, desde que cumpridas as formalidades legais para aprovação;</w:t>
      </w:r>
    </w:p>
    <w:p w:rsidR="00000000" w:rsidDel="00000000" w:rsidP="00000000" w:rsidRDefault="00000000" w:rsidRPr="00000000" w14:paraId="0000007B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revisão de prova, desde que solicitada por escrito, à instância competente, dentro do prazo previsto;</w:t>
      </w:r>
    </w:p>
    <w:p w:rsidR="00000000" w:rsidDel="00000000" w:rsidP="00000000" w:rsidRDefault="00000000" w:rsidRPr="00000000" w14:paraId="0000007C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participação em órgãos colegiados, comissões instituídas para tratarem de matéria de ensino, pesquisa, extensão e outros assuntos concernentes à instituição;</w:t>
      </w:r>
    </w:p>
    <w:p w:rsidR="00000000" w:rsidDel="00000000" w:rsidP="00000000" w:rsidRDefault="00000000" w:rsidRPr="00000000" w14:paraId="0000007D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utilização dos benefícios suplementares da instituição;</w:t>
      </w:r>
    </w:p>
    <w:p w:rsidR="00000000" w:rsidDel="00000000" w:rsidP="00000000" w:rsidRDefault="00000000" w:rsidRPr="00000000" w14:paraId="0000007E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condições adequadas aos estudos, lazer e sua permanência na escola;</w:t>
      </w:r>
    </w:p>
    <w:p w:rsidR="00000000" w:rsidDel="00000000" w:rsidP="00000000" w:rsidRDefault="00000000" w:rsidRPr="00000000" w14:paraId="0000007F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ser tratado com respeito por colegas, servidores da Casa e outros;</w:t>
      </w:r>
    </w:p>
    <w:p w:rsidR="00000000" w:rsidDel="00000000" w:rsidP="00000000" w:rsidRDefault="00000000" w:rsidRPr="00000000" w14:paraId="00000080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recorrer das medidas punitivas, às instâncias escolares superiores;</w:t>
      </w:r>
    </w:p>
    <w:p w:rsidR="00000000" w:rsidDel="00000000" w:rsidP="00000000" w:rsidRDefault="00000000" w:rsidRPr="00000000" w14:paraId="00000081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organização e participação em entidades estudantis;</w:t>
      </w:r>
    </w:p>
    <w:p w:rsidR="00000000" w:rsidDel="00000000" w:rsidP="00000000" w:rsidRDefault="00000000" w:rsidRPr="00000000" w14:paraId="00000082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obtenção do material didático-escolar, produzido pelo CEFET, a preços que atendem às necessidades da clientela do mesmo.</w:t>
      </w:r>
    </w:p>
    <w:p w:rsidR="00000000" w:rsidDel="00000000" w:rsidP="00000000" w:rsidRDefault="00000000" w:rsidRPr="00000000" w14:paraId="00000083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Art.3º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São deveres dos alunos:</w:t>
      </w:r>
    </w:p>
    <w:p w:rsidR="00000000" w:rsidDel="00000000" w:rsidP="00000000" w:rsidRDefault="00000000" w:rsidRPr="00000000" w14:paraId="00000085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zelar pelo patrimônio da instituição;</w:t>
      </w:r>
    </w:p>
    <w:p w:rsidR="00000000" w:rsidDel="00000000" w:rsidP="00000000" w:rsidRDefault="00000000" w:rsidRPr="00000000" w14:paraId="00000086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respeitar os colegas, os servidores da Casa e outros;</w:t>
      </w:r>
    </w:p>
    <w:p w:rsidR="00000000" w:rsidDel="00000000" w:rsidP="00000000" w:rsidRDefault="00000000" w:rsidRPr="00000000" w14:paraId="00000087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ressarcir os prejuízos causados aos bens patrimoniais da instituição e de outros;</w:t>
      </w:r>
    </w:p>
    <w:p w:rsidR="00000000" w:rsidDel="00000000" w:rsidP="00000000" w:rsidRDefault="00000000" w:rsidRPr="00000000" w14:paraId="00000088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respeitar os prazos, as normas e as regras gerais emanadas dos ordenamentos do CEFET/MG;</w:t>
      </w:r>
    </w:p>
    <w:p w:rsidR="00000000" w:rsidDel="00000000" w:rsidP="00000000" w:rsidRDefault="00000000" w:rsidRPr="00000000" w14:paraId="00000089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comparecer ou apresentar-se, com pontualidade às atividades e trabalhos escolares, em condições adequadas às instituições;</w:t>
      </w:r>
    </w:p>
    <w:p w:rsidR="00000000" w:rsidDel="00000000" w:rsidP="00000000" w:rsidRDefault="00000000" w:rsidRPr="00000000" w14:paraId="0000008A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manter atitudes compatíveis com a moralidade ou a dignidade da vida acadêmica;</w:t>
      </w:r>
    </w:p>
    <w:p w:rsidR="00000000" w:rsidDel="00000000" w:rsidP="00000000" w:rsidRDefault="00000000" w:rsidRPr="00000000" w14:paraId="0000008B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567" w:firstLine="0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Capítulo II – Do Regime Disciplinar</w:t>
      </w:r>
    </w:p>
    <w:p w:rsidR="00000000" w:rsidDel="00000000" w:rsidP="00000000" w:rsidRDefault="00000000" w:rsidRPr="00000000" w14:paraId="0000008D">
      <w:pPr>
        <w:ind w:left="-567" w:firstLine="0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Art.4º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 ordem disciplinar no CEFET/MG deverá ser mantida com a cooperação ativa dos diversos segmentos da comunidade como condição indispensável ao êxito dos trabalhos</w:t>
      </w:r>
    </w:p>
    <w:p w:rsidR="00000000" w:rsidDel="00000000" w:rsidP="00000000" w:rsidRDefault="00000000" w:rsidRPr="00000000" w14:paraId="0000008F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Art.5º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 inobservância das normas previstas pelo Regime Disciplinar desta instituição implicará as seguintes sanções:</w:t>
      </w:r>
    </w:p>
    <w:p w:rsidR="00000000" w:rsidDel="00000000" w:rsidP="00000000" w:rsidRDefault="00000000" w:rsidRPr="00000000" w14:paraId="00000091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advertência</w:t>
      </w:r>
    </w:p>
    <w:p w:rsidR="00000000" w:rsidDel="00000000" w:rsidP="00000000" w:rsidRDefault="00000000" w:rsidRPr="00000000" w14:paraId="00000092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repreensão;</w:t>
      </w:r>
    </w:p>
    <w:p w:rsidR="00000000" w:rsidDel="00000000" w:rsidP="00000000" w:rsidRDefault="00000000" w:rsidRPr="00000000" w14:paraId="00000093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suspensão das atividades escolares;</w:t>
      </w:r>
    </w:p>
    <w:p w:rsidR="00000000" w:rsidDel="00000000" w:rsidP="00000000" w:rsidRDefault="00000000" w:rsidRPr="00000000" w14:paraId="00000094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desligamento.</w:t>
      </w:r>
    </w:p>
    <w:p w:rsidR="00000000" w:rsidDel="00000000" w:rsidP="00000000" w:rsidRDefault="00000000" w:rsidRPr="00000000" w14:paraId="00000095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Art.6º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Na aplicação das sanções escolares, será considerada a gravidade de infração, à vista dos seguintes elementos:</w:t>
      </w:r>
    </w:p>
    <w:p w:rsidR="00000000" w:rsidDel="00000000" w:rsidP="00000000" w:rsidRDefault="00000000" w:rsidRPr="00000000" w14:paraId="00000097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primariedade do infrator;</w:t>
      </w:r>
    </w:p>
    <w:p w:rsidR="00000000" w:rsidDel="00000000" w:rsidP="00000000" w:rsidRDefault="00000000" w:rsidRPr="00000000" w14:paraId="00000098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dolo ou culpa;</w:t>
      </w:r>
    </w:p>
    <w:p w:rsidR="00000000" w:rsidDel="00000000" w:rsidP="00000000" w:rsidRDefault="00000000" w:rsidRPr="00000000" w14:paraId="00000099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natureza da ofensa;</w:t>
      </w:r>
    </w:p>
    <w:p w:rsidR="00000000" w:rsidDel="00000000" w:rsidP="00000000" w:rsidRDefault="00000000" w:rsidRPr="00000000" w14:paraId="0000009A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valor do bem moral, cultural ou material atingido;</w:t>
      </w:r>
    </w:p>
    <w:p w:rsidR="00000000" w:rsidDel="00000000" w:rsidP="00000000" w:rsidRDefault="00000000" w:rsidRPr="00000000" w14:paraId="0000009B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circunstâncias em que ocorreu o fato.</w:t>
      </w:r>
    </w:p>
    <w:p w:rsidR="00000000" w:rsidDel="00000000" w:rsidP="00000000" w:rsidRDefault="00000000" w:rsidRPr="00000000" w14:paraId="0000009C">
      <w:pPr>
        <w:ind w:left="-567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Art.7º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As sanções previstas no Artigo anterior serão aplicadas nos seguintes casos:</w:t>
      </w:r>
    </w:p>
    <w:p w:rsidR="00000000" w:rsidDel="00000000" w:rsidP="00000000" w:rsidRDefault="00000000" w:rsidRPr="00000000" w14:paraId="0000009E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567" w:firstLine="0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I. Advertência</w:t>
      </w:r>
    </w:p>
    <w:p w:rsidR="00000000" w:rsidDel="00000000" w:rsidP="00000000" w:rsidRDefault="00000000" w:rsidRPr="00000000" w14:paraId="000000A0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a) por desrespeito a qualquer autoridade do CEFET/MG, a qualquer membro dos Corpos Docente, Discente, Técnico Administrativo e outros;</w:t>
      </w:r>
    </w:p>
    <w:p w:rsidR="00000000" w:rsidDel="00000000" w:rsidP="00000000" w:rsidRDefault="00000000" w:rsidRPr="00000000" w14:paraId="000000A1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b) por perturbação da ordem recintos do CEFET/MG.</w:t>
      </w:r>
    </w:p>
    <w:p w:rsidR="00000000" w:rsidDel="00000000" w:rsidP="00000000" w:rsidRDefault="00000000" w:rsidRPr="00000000" w14:paraId="000000A2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-567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-426" w:firstLine="141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II. Repreensão: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por reincidência em qualquer das faltas das alíneas do item anterior;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por praticar atos incompatíveis com a moralidade ou dignidade da vida acadêmica;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por convocação e realização de reuniões do Corpo Discente do Centro, sem autorização prévia da(s) autoridades responsável(is) pelo local da reunião.</w:t>
      </w:r>
    </w:p>
    <w:p w:rsidR="00000000" w:rsidDel="00000000" w:rsidP="00000000" w:rsidRDefault="00000000" w:rsidRPr="00000000" w14:paraId="000000AA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426" w:firstLine="141"/>
        <w:rPr/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III. Suspensão das atividades escolares: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por reincidência em qualquer das faltas das alíneas o item II;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por improbidade comprovada na execução de trabalhos escolares;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por ofensa física ou moral a qualquer membro dos Corpos Discente, Docente, Técnico-Administrativo ou outros;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por dano material causado ao patrimônio da instituição ou particular.</w:t>
      </w:r>
    </w:p>
    <w:p w:rsidR="00000000" w:rsidDel="00000000" w:rsidP="00000000" w:rsidRDefault="00000000" w:rsidRPr="00000000" w14:paraId="000000B0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-426" w:firstLine="141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IV. Desligamento:</w:t>
      </w:r>
    </w:p>
    <w:p w:rsidR="00000000" w:rsidDel="00000000" w:rsidP="00000000" w:rsidRDefault="00000000" w:rsidRPr="00000000" w14:paraId="000000B2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a) por reincidência em qualquer das faltas das alíneas III;</w:t>
      </w:r>
    </w:p>
    <w:p w:rsidR="00000000" w:rsidDel="00000000" w:rsidP="00000000" w:rsidRDefault="00000000" w:rsidRPr="00000000" w14:paraId="000000B3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b) por dolo comprovado de ato incompatível com a moralidade e a dignidade da vida acadêmica.</w:t>
      </w:r>
    </w:p>
    <w:p w:rsidR="00000000" w:rsidDel="00000000" w:rsidP="00000000" w:rsidRDefault="00000000" w:rsidRPr="00000000" w14:paraId="000000B4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8º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 suspensão, por qualquer que seja sua duração, impedirá o exercício de representação em qualquer colegiado ou comissão durante o seu impedimento.</w:t>
      </w:r>
    </w:p>
    <w:p w:rsidR="00000000" w:rsidDel="00000000" w:rsidP="00000000" w:rsidRDefault="00000000" w:rsidRPr="00000000" w14:paraId="000000B6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único – Na aplicação de suspensão das atividades escolares, a autoridade deverá fixar, expressamente, o período de afastamento que não deverá exceder a 15 % (quinze por cento) do período letivo.</w:t>
      </w:r>
    </w:p>
    <w:p w:rsidR="00000000" w:rsidDel="00000000" w:rsidP="00000000" w:rsidRDefault="00000000" w:rsidRPr="00000000" w14:paraId="000000B8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9º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São competentes para aplicar as sanções previstas no artigo 7º:</w:t>
      </w:r>
    </w:p>
    <w:p w:rsidR="00000000" w:rsidDel="00000000" w:rsidP="00000000" w:rsidRDefault="00000000" w:rsidRPr="00000000" w14:paraId="000000BB">
      <w:pPr>
        <w:ind w:left="-426" w:firstLine="141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Os professores, os coordenadores, os Chefes de Departamentos Acadêmicos, o Setor de Disciplina Escolar, dos departamentos de Ensino Superior e de 2º Grau, e as UNEDs, quando se tratar de </w:t>
      </w: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advertência;</w:t>
      </w:r>
    </w:p>
    <w:p w:rsidR="00000000" w:rsidDel="00000000" w:rsidP="00000000" w:rsidRDefault="00000000" w:rsidRPr="00000000" w14:paraId="000000BC">
      <w:pPr>
        <w:ind w:left="-426" w:firstLine="141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O Chefe do Setor de disciplina escolar, do Departamento de Ensino Superior e do 2º Grau e das UNEDs, quando se tratar de </w:t>
      </w: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repreensão;</w:t>
      </w:r>
    </w:p>
    <w:p w:rsidR="00000000" w:rsidDel="00000000" w:rsidP="00000000" w:rsidRDefault="00000000" w:rsidRPr="00000000" w14:paraId="000000BD">
      <w:pPr>
        <w:ind w:left="-426" w:firstLine="141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Os Chefes do Setor de Disciplina escolar, dos Departamentos de Ensino Superior e do 2º Grau e das UNEDs, quando se tratar de </w:t>
      </w: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suspensão das atividades escolares;</w:t>
      </w:r>
    </w:p>
    <w:p w:rsidR="00000000" w:rsidDel="00000000" w:rsidP="00000000" w:rsidRDefault="00000000" w:rsidRPr="00000000" w14:paraId="000000BE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* O Diretor-Geral, quando se tratar de desligamento.</w:t>
      </w:r>
    </w:p>
    <w:p w:rsidR="00000000" w:rsidDel="00000000" w:rsidP="00000000" w:rsidRDefault="00000000" w:rsidRPr="00000000" w14:paraId="000000BF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1º - A advertência será aplicada oralmente, na presença de pelo menos uma testemunha, e comunicada por escrito, à autoridade competente.</w:t>
      </w:r>
    </w:p>
    <w:p w:rsidR="00000000" w:rsidDel="00000000" w:rsidP="00000000" w:rsidRDefault="00000000" w:rsidRPr="00000000" w14:paraId="000000C1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2º - A repreensão será sempre por escrito.</w:t>
      </w:r>
    </w:p>
    <w:p w:rsidR="00000000" w:rsidDel="00000000" w:rsidP="00000000" w:rsidRDefault="00000000" w:rsidRPr="00000000" w14:paraId="000000C3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3º - A suspensão das atividades escolares, por até 03 (três) dias, será por ato do Chefe do Setor de Disciplina Escolar e por até 05 (cinco) dias, por ato dos Chefes de Ensino Superior, de 2º Grau e das UNEDs.</w:t>
      </w:r>
    </w:p>
    <w:p w:rsidR="00000000" w:rsidDel="00000000" w:rsidP="00000000" w:rsidRDefault="00000000" w:rsidRPr="00000000" w14:paraId="000000C5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4º - A suspensão das atividades escolares por um período superior a 05 (cinco) dias, será da competência do Diretor de Ensino.</w:t>
      </w:r>
    </w:p>
    <w:p w:rsidR="00000000" w:rsidDel="00000000" w:rsidP="00000000" w:rsidRDefault="00000000" w:rsidRPr="00000000" w14:paraId="000000C7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5º - O desligamento será precedido de processo disciplinar, realizado por Comissão instituída pelo Diretor-Geral.</w:t>
      </w:r>
    </w:p>
    <w:p w:rsidR="00000000" w:rsidDel="00000000" w:rsidP="00000000" w:rsidRDefault="00000000" w:rsidRPr="00000000" w14:paraId="000000C9">
      <w:pPr>
        <w:ind w:left="-426" w:firstLine="141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-426" w:firstLine="14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6º - Será assegurado ao discente amplo direito de defesa.</w:t>
      </w:r>
    </w:p>
    <w:p w:rsidR="00000000" w:rsidDel="00000000" w:rsidP="00000000" w:rsidRDefault="00000000" w:rsidRPr="00000000" w14:paraId="000000CB">
      <w:pPr>
        <w:ind w:left="-567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7º - O inquérito será instaurado mediante Portaria do Diretor-Geral, baixada dentro de 05 (cinco) dias do acontecimento do fato, concluído no prazo de 30 (trinta) dias, contados da data da Portaria. O prazo do inquérito poderá ser prorrogado uma única vez, por igual período.</w:t>
      </w:r>
    </w:p>
    <w:p w:rsidR="00000000" w:rsidDel="00000000" w:rsidP="00000000" w:rsidRDefault="00000000" w:rsidRPr="00000000" w14:paraId="000000CD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8º - Após a apuração dos fatos, ouvidas as testemunhas e colhendo as provas que julgar necessárias, a Comissão dará vista do processo ao acusado, ou a seu procurador legalmente constituído, para, no prazo máximo de 10 (dez) dias, apresentar sua defesa escrita.</w:t>
      </w:r>
    </w:p>
    <w:p w:rsidR="00000000" w:rsidDel="00000000" w:rsidP="00000000" w:rsidRDefault="00000000" w:rsidRPr="00000000" w14:paraId="000000CF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9º - Em caso de arrolar testemunhas, as mesmas serão ouvidas no prazo de 03 (três) dias, após a notificação.</w:t>
      </w:r>
    </w:p>
    <w:p w:rsidR="00000000" w:rsidDel="00000000" w:rsidP="00000000" w:rsidRDefault="00000000" w:rsidRPr="00000000" w14:paraId="000000D1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10º - A Comissão de Inquérito, após a instrução, enviará relatório ao Diretor-Geral, para decisão.</w:t>
      </w:r>
    </w:p>
    <w:p w:rsidR="00000000" w:rsidDel="00000000" w:rsidP="00000000" w:rsidRDefault="00000000" w:rsidRPr="00000000" w14:paraId="000000D3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11º - No caso de parecer da Comissão pelo desligamento, serão remetidos os autos ao Conselho Diretor para decisão final.</w:t>
      </w:r>
    </w:p>
    <w:p w:rsidR="00000000" w:rsidDel="00000000" w:rsidP="00000000" w:rsidRDefault="00000000" w:rsidRPr="00000000" w14:paraId="000000D5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-284" w:firstLine="0"/>
        <w:jc w:val="both"/>
        <w:rPr/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12º - Quando a infração estiver capitulada na Lei Penal, será remetido à autoridade competente, ficando traslado na repartição.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-284" w:firstLine="0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Capítulo III – Dos Cursos</w:t>
      </w:r>
    </w:p>
    <w:p w:rsidR="00000000" w:rsidDel="00000000" w:rsidP="00000000" w:rsidRDefault="00000000" w:rsidRPr="00000000" w14:paraId="000000D9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10º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Caberá pedido de reconsideração às autoridades ou órgãos desta instituição, pelas suas decisões, ou recurso à instância imediatamente superior.</w:t>
      </w:r>
    </w:p>
    <w:p w:rsidR="00000000" w:rsidDel="00000000" w:rsidP="00000000" w:rsidRDefault="00000000" w:rsidRPr="00000000" w14:paraId="000000DA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Único – O pedido de reconsideração suspende o prazo para a interposição de recurso e deverá ser apresentado 48 (quarenta e oito) horas após ciência do fato ou ato.</w:t>
      </w:r>
    </w:p>
    <w:p w:rsidR="00000000" w:rsidDel="00000000" w:rsidP="00000000" w:rsidRDefault="00000000" w:rsidRPr="00000000" w14:paraId="000000DC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11º -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O recurso não terá efeito suspensivo e deverá ser interposto perante a autoridade ou órgão recorrido, dentro de 15 (quinze) dias, contados da data de conhecimento do ato recorrido.</w:t>
      </w:r>
    </w:p>
    <w:p w:rsidR="00000000" w:rsidDel="00000000" w:rsidP="00000000" w:rsidRDefault="00000000" w:rsidRPr="00000000" w14:paraId="000000DE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12º -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O julgamento de qualquer recurso, a nível desta instituição, terá o prazo de 25 (vinte e cinco) dias e o processo, devidamente julgado, será devolvido à autoridade ou órgão recorrido, para o cumprimento da decisão proferida.</w:t>
      </w:r>
    </w:p>
    <w:p w:rsidR="00000000" w:rsidDel="00000000" w:rsidP="00000000" w:rsidRDefault="00000000" w:rsidRPr="00000000" w14:paraId="000000E0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-284" w:firstLine="0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Capítulo IV – Das Disposições Gerais</w:t>
      </w:r>
    </w:p>
    <w:p w:rsidR="00000000" w:rsidDel="00000000" w:rsidP="00000000" w:rsidRDefault="00000000" w:rsidRPr="00000000" w14:paraId="000000E2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Art. 13º - O registro da sanção será feito pelas Seções de Registro Escolar de 3º e 2º Graus, respectivamente, e não constará do histórico do aluno.</w:t>
      </w:r>
    </w:p>
    <w:p w:rsidR="00000000" w:rsidDel="00000000" w:rsidP="00000000" w:rsidRDefault="00000000" w:rsidRPr="00000000" w14:paraId="000000E3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Único – Será cancelado o registro das sanções previstas nos itens I e II do artigo 5º, se, no prazo de 01 (um) ano de aplicação, o discente não incorrer em reincidência.</w:t>
      </w:r>
    </w:p>
    <w:p w:rsidR="00000000" w:rsidDel="00000000" w:rsidP="00000000" w:rsidRDefault="00000000" w:rsidRPr="00000000" w14:paraId="000000E5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14º -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Em caso de dano material ao patrimônio da Instituição e outros, além da sanção disciplinar aplicável, o infrator estará obrigado ao ressarcimento.</w:t>
      </w:r>
    </w:p>
    <w:p w:rsidR="00000000" w:rsidDel="00000000" w:rsidP="00000000" w:rsidRDefault="00000000" w:rsidRPr="00000000" w14:paraId="000000E7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Parágrafo Único – Os prejuízos materiais serão apurados pelos órgãos competentes, conforme os bens avaliados, ouvida a Comissão de Avaliação.</w:t>
      </w:r>
    </w:p>
    <w:p w:rsidR="00000000" w:rsidDel="00000000" w:rsidP="00000000" w:rsidRDefault="00000000" w:rsidRPr="00000000" w14:paraId="000000E9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-284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15º -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Os casos omissos serão resolvidos pelo Diretor-Geral, ouvido o Conselho Diretor.</w:t>
      </w:r>
    </w:p>
    <w:p w:rsidR="00000000" w:rsidDel="00000000" w:rsidP="00000000" w:rsidRDefault="00000000" w:rsidRPr="00000000" w14:paraId="000000EB">
      <w:pPr>
        <w:ind w:left="-284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-284" w:firstLine="0"/>
        <w:jc w:val="both"/>
        <w:rPr/>
        <w:sectPr>
          <w:type w:val="continuous"/>
          <w:pgSz w:h="16838" w:w="11906" w:orient="portrait"/>
          <w:pgMar w:bottom="1418" w:top="1418" w:left="1134" w:right="1134" w:header="709" w:footer="709"/>
          <w:cols w:equalWidth="0" w:num="3">
            <w:col w:space="708" w:w="2740.666666666666"/>
            <w:col w:space="708" w:w="2740.666666666666"/>
            <w:col w:space="0" w:w="2740.666666666666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Art. 16º -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Este regulamento entra em vigor na data de sua aprovação pelo Conselho diretor, fazendo parte integrante do Centro, revogadas todas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FEDERAL DE EDUCAÇÃO TECNOLÓGICA DE MINAS GERAIS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-251459</wp:posOffset>
          </wp:positionH>
          <wp:positionV relativeFrom="paragraph">
            <wp:posOffset>-278129</wp:posOffset>
          </wp:positionV>
          <wp:extent cx="962025" cy="721520"/>
          <wp:effectExtent b="0" l="0" r="0" t="0"/>
          <wp:wrapSquare wrapText="bothSides" distB="0" distT="0" distL="114300" distR="114300"/>
          <wp:docPr descr="Pesquisador do CEFET-MG desenvolve método que verifica confiabilidade de  sites - Jornal Leopoldinense" id="21" name="image7.jpg"/>
          <a:graphic>
            <a:graphicData uri="http://schemas.openxmlformats.org/drawingml/2006/picture">
              <pic:pic>
                <pic:nvPicPr>
                  <pic:cNvPr descr="Pesquisador do CEFET-MG desenvolve método que verifica confiabilidade de  sites - Jornal Leopoldinense"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72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LEOPOLDINA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-207" w:hanging="360"/>
      </w:pPr>
      <w:rPr/>
    </w:lvl>
    <w:lvl w:ilvl="1">
      <w:start w:val="1"/>
      <w:numFmt w:val="lowerLetter"/>
      <w:lvlText w:val="%2."/>
      <w:lvlJc w:val="left"/>
      <w:pPr>
        <w:ind w:left="513" w:hanging="360"/>
      </w:pPr>
      <w:rPr/>
    </w:lvl>
    <w:lvl w:ilvl="2">
      <w:start w:val="1"/>
      <w:numFmt w:val="lowerRoman"/>
      <w:lvlText w:val="%3."/>
      <w:lvlJc w:val="right"/>
      <w:pPr>
        <w:ind w:left="1233" w:hanging="180"/>
      </w:pPr>
      <w:rPr/>
    </w:lvl>
    <w:lvl w:ilvl="3">
      <w:start w:val="1"/>
      <w:numFmt w:val="decimal"/>
      <w:lvlText w:val="%4."/>
      <w:lvlJc w:val="left"/>
      <w:pPr>
        <w:ind w:left="1953" w:hanging="360"/>
      </w:pPr>
      <w:rPr/>
    </w:lvl>
    <w:lvl w:ilvl="4">
      <w:start w:val="1"/>
      <w:numFmt w:val="lowerLetter"/>
      <w:lvlText w:val="%5."/>
      <w:lvlJc w:val="left"/>
      <w:pPr>
        <w:ind w:left="2673" w:hanging="360"/>
      </w:pPr>
      <w:rPr/>
    </w:lvl>
    <w:lvl w:ilvl="5">
      <w:start w:val="1"/>
      <w:numFmt w:val="lowerRoman"/>
      <w:lvlText w:val="%6."/>
      <w:lvlJc w:val="right"/>
      <w:pPr>
        <w:ind w:left="3393" w:hanging="180"/>
      </w:pPr>
      <w:rPr/>
    </w:lvl>
    <w:lvl w:ilvl="6">
      <w:start w:val="1"/>
      <w:numFmt w:val="decimal"/>
      <w:lvlText w:val="%7."/>
      <w:lvlJc w:val="left"/>
      <w:pPr>
        <w:ind w:left="4113" w:hanging="360"/>
      </w:pPr>
      <w:rPr/>
    </w:lvl>
    <w:lvl w:ilvl="7">
      <w:start w:val="1"/>
      <w:numFmt w:val="lowerLetter"/>
      <w:lvlText w:val="%8."/>
      <w:lvlJc w:val="left"/>
      <w:pPr>
        <w:ind w:left="4833" w:hanging="360"/>
      </w:pPr>
      <w:rPr/>
    </w:lvl>
    <w:lvl w:ilvl="8">
      <w:start w:val="1"/>
      <w:numFmt w:val="lowerRoman"/>
      <w:lvlText w:val="%9."/>
      <w:lvlJc w:val="right"/>
      <w:pPr>
        <w:ind w:left="5553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-20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727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0727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07278"/>
  </w:style>
  <w:style w:type="paragraph" w:styleId="Rodap">
    <w:name w:val="footer"/>
    <w:basedOn w:val="Normal"/>
    <w:link w:val="RodapChar"/>
    <w:uiPriority w:val="99"/>
    <w:unhideWhenUsed w:val="1"/>
    <w:rsid w:val="00E0727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07278"/>
  </w:style>
  <w:style w:type="table" w:styleId="Tabelacomgrade">
    <w:name w:val="Table Grid"/>
    <w:basedOn w:val="Tabelanormal"/>
    <w:uiPriority w:val="39"/>
    <w:rsid w:val="00E072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9817B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MnfJjv68chaWYeN/3wP61/8bg==">CgMxLjAyCGguZ2pkZ3hzOAByITEtUFFKdUpUMldacW42REp3S1ExVDZZaGppaWRZUWZ6RQ==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2022-06-08T18:40:00Z</dcterms:created>
  <dc:creator>User</dc:creator>
</cp:coreProperties>
</file>